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70" w:rsidRDefault="00AB4C10" w:rsidP="00DE603A">
      <w:pPr>
        <w:spacing w:after="0"/>
        <w:jc w:val="center"/>
        <w:rPr>
          <w:rFonts w:ascii="Century Gothic" w:hAnsi="Century Gothic"/>
          <w:b/>
          <w:color w:val="00206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3810DB8" wp14:editId="58F8181F">
            <wp:extent cx="6477000" cy="857250"/>
            <wp:effectExtent l="0" t="0" r="0" b="0"/>
            <wp:docPr id="1" name="Image 1" descr="cid:image001.png@01D1600B.1D1D9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png@01D1600B.1D1D96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C10" w:rsidRDefault="00AB4C10" w:rsidP="00AE35AF">
      <w:pPr>
        <w:spacing w:after="0"/>
        <w:rPr>
          <w:rFonts w:ascii="Century Gothic" w:hAnsi="Century Gothic"/>
          <w:b/>
          <w:color w:val="002060"/>
          <w:sz w:val="24"/>
          <w:szCs w:val="24"/>
        </w:rPr>
      </w:pPr>
    </w:p>
    <w:p w:rsidR="00BC248F" w:rsidRDefault="0005696C" w:rsidP="00BC248F">
      <w:pPr>
        <w:spacing w:after="0"/>
        <w:jc w:val="center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FACE A L’ADMINISTRATION : LES RECOURS ADMINISTRATIFS ET JURIDICTIONNELS</w:t>
      </w:r>
      <w:r w:rsidR="00D654F3">
        <w:rPr>
          <w:rFonts w:ascii="Century Gothic" w:hAnsi="Century Gothic"/>
          <w:b/>
          <w:color w:val="002060"/>
          <w:sz w:val="24"/>
          <w:szCs w:val="24"/>
        </w:rPr>
        <w:t xml:space="preserve"> </w:t>
      </w:r>
    </w:p>
    <w:p w:rsidR="00BC248F" w:rsidRDefault="00D654F3" w:rsidP="00BC248F">
      <w:pPr>
        <w:spacing w:after="0"/>
        <w:jc w:val="center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(Entrée et S</w:t>
      </w:r>
      <w:r w:rsidR="00484411">
        <w:rPr>
          <w:rFonts w:ascii="Century Gothic" w:hAnsi="Century Gothic"/>
          <w:b/>
          <w:color w:val="002060"/>
          <w:sz w:val="24"/>
          <w:szCs w:val="24"/>
        </w:rPr>
        <w:t>éjour en</w:t>
      </w:r>
      <w:r w:rsidR="00BC248F">
        <w:rPr>
          <w:rFonts w:ascii="Century Gothic" w:hAnsi="Century Gothic"/>
          <w:b/>
          <w:color w:val="002060"/>
          <w:sz w:val="24"/>
          <w:szCs w:val="24"/>
        </w:rPr>
        <w:t xml:space="preserve"> France – Protection sociale) </w:t>
      </w:r>
    </w:p>
    <w:p w:rsidR="00361F70" w:rsidRDefault="00933DB3" w:rsidP="00BC248F">
      <w:pPr>
        <w:spacing w:after="0"/>
        <w:jc w:val="center"/>
        <w:rPr>
          <w:rFonts w:ascii="Century Gothic" w:hAnsi="Century Gothic"/>
          <w:b/>
          <w:color w:val="002060"/>
          <w:sz w:val="24"/>
          <w:szCs w:val="24"/>
        </w:rPr>
      </w:pPr>
      <w:r>
        <w:rPr>
          <w:rFonts w:ascii="Century Gothic" w:hAnsi="Century Gothic"/>
          <w:b/>
          <w:color w:val="002060"/>
          <w:sz w:val="24"/>
          <w:szCs w:val="24"/>
        </w:rPr>
        <w:t>LETTRES TYPE/RECOURS AMIABLES, HIERARCHIQUES, JUDICIAIRES</w:t>
      </w:r>
    </w:p>
    <w:p w:rsidR="00062035" w:rsidRDefault="00BC248F" w:rsidP="00BC248F">
      <w:pPr>
        <w:spacing w:after="0"/>
        <w:jc w:val="center"/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(1 journée</w:t>
      </w:r>
      <w:r w:rsidR="00062035" w:rsidRPr="00062035">
        <w:rPr>
          <w:rFonts w:ascii="Century Gothic" w:hAnsi="Century Gothic"/>
          <w:b/>
          <w:color w:val="002060"/>
        </w:rPr>
        <w:t>)</w:t>
      </w:r>
    </w:p>
    <w:p w:rsidR="003E07EC" w:rsidRDefault="003E07EC" w:rsidP="00E541B0">
      <w:pPr>
        <w:spacing w:after="0"/>
        <w:jc w:val="both"/>
        <w:rPr>
          <w:rFonts w:ascii="Century Gothic" w:hAnsi="Century Gothic"/>
          <w:b/>
          <w:i/>
          <w:color w:val="002060"/>
          <w:sz w:val="18"/>
          <w:szCs w:val="18"/>
        </w:rPr>
      </w:pPr>
    </w:p>
    <w:p w:rsidR="00554177" w:rsidRDefault="00554177" w:rsidP="00DD4A23">
      <w:pPr>
        <w:spacing w:after="0"/>
        <w:rPr>
          <w:rFonts w:ascii="Century Gothic" w:hAnsi="Century Gothic"/>
          <w:b/>
          <w:color w:val="002060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32B86" w:rsidRPr="00532B86" w:rsidTr="001E793E">
        <w:tc>
          <w:tcPr>
            <w:tcW w:w="5228" w:type="dxa"/>
          </w:tcPr>
          <w:p w:rsidR="00532B86" w:rsidRPr="007D79F3" w:rsidRDefault="00532B86" w:rsidP="00532B86">
            <w:pPr>
              <w:jc w:val="both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Objectifs pédagogiques :</w:t>
            </w:r>
          </w:p>
          <w:p w:rsidR="00532B86" w:rsidRPr="007D79F3" w:rsidRDefault="00532B86" w:rsidP="00532B86">
            <w:pPr>
              <w:pStyle w:val="Paragraphedeliste"/>
              <w:numPr>
                <w:ilvl w:val="1"/>
                <w:numId w:val="2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S’approprier et approfondir un savoir de base</w:t>
            </w:r>
            <w:r w:rsidR="00933DB3">
              <w:rPr>
                <w:rFonts w:ascii="Century Gothic" w:hAnsi="Century Gothic"/>
                <w:color w:val="002060"/>
                <w:sz w:val="18"/>
                <w:szCs w:val="18"/>
              </w:rPr>
              <w:t xml:space="preserve"> sur une dizaine de thèmes / procédures et arguments pour élaborer des lettres-types de recours</w:t>
            </w:r>
            <w:r>
              <w:rPr>
                <w:rFonts w:ascii="Century Gothic" w:hAnsi="Century Gothic"/>
                <w:color w:val="002060"/>
                <w:sz w:val="18"/>
                <w:szCs w:val="18"/>
              </w:rPr>
              <w:t>,</w:t>
            </w:r>
          </w:p>
          <w:p w:rsidR="00532B86" w:rsidRDefault="00532B86" w:rsidP="00532B86">
            <w:pPr>
              <w:pStyle w:val="Paragraphedeliste"/>
              <w:numPr>
                <w:ilvl w:val="1"/>
                <w:numId w:val="2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Savoir évaluer et au besoin orienter les situations complexes pour apporter de meilleures réponses aux ressortissants étrangers dans leurs démarches,</w:t>
            </w:r>
          </w:p>
          <w:p w:rsidR="00532B86" w:rsidRPr="007D79F3" w:rsidRDefault="00532B86" w:rsidP="00532B86">
            <w:pPr>
              <w:pStyle w:val="Paragraphedeliste"/>
              <w:numPr>
                <w:ilvl w:val="1"/>
                <w:numId w:val="2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Agir de manière adaptée face aux décisions de rejet de droit à la protection sociale ou au séjour notifiées aux ressortissants étrangers.</w:t>
            </w:r>
          </w:p>
          <w:p w:rsidR="00532B86" w:rsidRDefault="00532B86" w:rsidP="00532B86">
            <w:pPr>
              <w:jc w:val="both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</w:p>
          <w:p w:rsidR="002105E2" w:rsidRDefault="00BC248F" w:rsidP="002105E2">
            <w:pPr>
              <w:jc w:val="both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D</w:t>
            </w:r>
            <w:r w:rsidR="005778AB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ate</w:t>
            </w:r>
            <w:r w:rsidR="002105E2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 xml:space="preserve"> : </w:t>
            </w:r>
          </w:p>
          <w:p w:rsidR="002105E2" w:rsidRPr="00D654F3" w:rsidRDefault="00BC248F" w:rsidP="002105E2">
            <w:p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Le Jeudi 17/01/2019</w:t>
            </w:r>
            <w:r w:rsidR="002105E2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 xml:space="preserve"> </w:t>
            </w:r>
            <w:r w:rsidR="002D1F1A" w:rsidRPr="00D654F3">
              <w:rPr>
                <w:rFonts w:ascii="Century Gothic" w:hAnsi="Century Gothic"/>
                <w:color w:val="002060"/>
                <w:sz w:val="18"/>
                <w:szCs w:val="18"/>
              </w:rPr>
              <w:t>–</w:t>
            </w:r>
            <w:r w:rsidR="002105E2" w:rsidRPr="00D654F3">
              <w:rPr>
                <w:rFonts w:ascii="Century Gothic" w:hAnsi="Century Gothic"/>
                <w:color w:val="002060"/>
                <w:sz w:val="18"/>
                <w:szCs w:val="18"/>
              </w:rPr>
              <w:t xml:space="preserve"> </w:t>
            </w:r>
            <w:r w:rsidR="00D654F3" w:rsidRPr="00D654F3">
              <w:rPr>
                <w:rFonts w:ascii="Century Gothic" w:hAnsi="Century Gothic"/>
                <w:color w:val="002060"/>
                <w:sz w:val="18"/>
                <w:szCs w:val="18"/>
              </w:rPr>
              <w:t>à l’ODTI – 7 Place Edmond Arnaud – 38000 Grenoble</w:t>
            </w:r>
            <w:r w:rsidR="002105E2" w:rsidRPr="00D654F3">
              <w:rPr>
                <w:rFonts w:ascii="Century Gothic" w:hAnsi="Century Gothic"/>
                <w:color w:val="002060"/>
                <w:sz w:val="18"/>
                <w:szCs w:val="18"/>
              </w:rPr>
              <w:t xml:space="preserve"> – </w:t>
            </w:r>
            <w:r w:rsidR="00D654F3" w:rsidRPr="00D654F3">
              <w:rPr>
                <w:rFonts w:ascii="Century Gothic" w:hAnsi="Century Gothic"/>
                <w:color w:val="002060"/>
                <w:sz w:val="18"/>
                <w:szCs w:val="18"/>
              </w:rPr>
              <w:t>1</w:t>
            </w:r>
            <w:r w:rsidR="00280514" w:rsidRPr="00D654F3">
              <w:rPr>
                <w:rFonts w:ascii="Century Gothic" w:hAnsi="Century Gothic"/>
                <w:color w:val="002060"/>
                <w:sz w:val="18"/>
                <w:szCs w:val="18"/>
              </w:rPr>
              <w:t xml:space="preserve"> </w:t>
            </w:r>
            <w:r w:rsidR="002105E2" w:rsidRPr="00D654F3">
              <w:rPr>
                <w:rFonts w:ascii="Century Gothic" w:hAnsi="Century Gothic"/>
                <w:color w:val="002060"/>
                <w:sz w:val="18"/>
                <w:szCs w:val="18"/>
              </w:rPr>
              <w:t>journée de formation professionnelle continue</w:t>
            </w:r>
            <w:r w:rsidR="005778AB" w:rsidRPr="00D654F3">
              <w:rPr>
                <w:rFonts w:ascii="Century Gothic" w:hAnsi="Century Gothic"/>
                <w:color w:val="002060"/>
                <w:sz w:val="18"/>
                <w:szCs w:val="18"/>
              </w:rPr>
              <w:t xml:space="preserve"> de </w:t>
            </w:r>
            <w:r w:rsidR="00D654F3" w:rsidRPr="00D654F3">
              <w:rPr>
                <w:rFonts w:ascii="Century Gothic" w:hAnsi="Century Gothic"/>
                <w:color w:val="002060"/>
                <w:sz w:val="18"/>
                <w:szCs w:val="18"/>
              </w:rPr>
              <w:t>9 à 12H et de 14H à 17H - 225</w:t>
            </w:r>
            <w:r w:rsidR="002105E2" w:rsidRPr="00D654F3">
              <w:rPr>
                <w:rFonts w:ascii="Century Gothic" w:hAnsi="Century Gothic"/>
                <w:color w:val="002060"/>
                <w:sz w:val="18"/>
                <w:szCs w:val="18"/>
              </w:rPr>
              <w:t xml:space="preserve"> euros (exo TVA).</w:t>
            </w:r>
          </w:p>
          <w:p w:rsidR="00532B86" w:rsidRPr="00D654F3" w:rsidRDefault="00532B86" w:rsidP="00532B86">
            <w:p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</w:p>
          <w:p w:rsidR="00532B86" w:rsidRPr="00D6598D" w:rsidRDefault="00532B86" w:rsidP="00532B86">
            <w:p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 xml:space="preserve">Référents et Intervenants : </w:t>
            </w:r>
            <w:r w:rsidR="00B01A74" w:rsidRPr="00366DF2">
              <w:rPr>
                <w:rFonts w:ascii="Century Gothic" w:hAnsi="Century Gothic"/>
                <w:iCs/>
                <w:color w:val="17365D" w:themeColor="text2" w:themeShade="BF"/>
                <w:sz w:val="18"/>
                <w:szCs w:val="18"/>
              </w:rPr>
              <w:t>Monsieur Elias BOUANANI, responsable du pôle juridique r</w:t>
            </w:r>
            <w:r w:rsidRPr="00366DF2">
              <w:rPr>
                <w:rFonts w:ascii="Century Gothic" w:hAnsi="Century Gothic"/>
                <w:iCs/>
                <w:color w:val="17365D" w:themeColor="text2" w:themeShade="BF"/>
                <w:sz w:val="18"/>
                <w:szCs w:val="18"/>
              </w:rPr>
              <w:t xml:space="preserve">essources (Tél : 04.76.44.99.51 / Email : </w:t>
            </w:r>
            <w:hyperlink r:id="rId6" w:history="1">
              <w:r w:rsidRPr="00366DF2">
                <w:rPr>
                  <w:rStyle w:val="Lienhypertexte"/>
                  <w:rFonts w:ascii="Century Gothic" w:hAnsi="Century Gothic"/>
                  <w:iCs/>
                  <w:color w:val="17365D" w:themeColor="text2" w:themeShade="BF"/>
                  <w:sz w:val="18"/>
                  <w:szCs w:val="18"/>
                  <w:u w:val="none"/>
                </w:rPr>
                <w:t>eliasbouanani@odti.fr</w:t>
              </w:r>
            </w:hyperlink>
            <w:r w:rsidR="00B01A74" w:rsidRPr="00366DF2">
              <w:rPr>
                <w:rFonts w:ascii="Century Gothic" w:hAnsi="Century Gothic"/>
                <w:iCs/>
                <w:color w:val="17365D" w:themeColor="text2" w:themeShade="BF"/>
                <w:sz w:val="18"/>
                <w:szCs w:val="18"/>
              </w:rPr>
              <w:t>) et Madame Nadège ROBIN, juriste près du service j</w:t>
            </w:r>
            <w:r w:rsidRPr="00366DF2">
              <w:rPr>
                <w:rFonts w:ascii="Century Gothic" w:hAnsi="Century Gothic"/>
                <w:iCs/>
                <w:color w:val="17365D" w:themeColor="text2" w:themeShade="BF"/>
                <w:sz w:val="18"/>
                <w:szCs w:val="18"/>
              </w:rPr>
              <w:t xml:space="preserve">uridique de l’ODTI </w:t>
            </w:r>
            <w:r w:rsidRPr="00062035">
              <w:rPr>
                <w:rFonts w:ascii="Century Gothic" w:hAnsi="Century Gothic"/>
                <w:iCs/>
                <w:color w:val="244061" w:themeColor="accent1" w:themeShade="80"/>
                <w:sz w:val="18"/>
                <w:szCs w:val="18"/>
              </w:rPr>
              <w:t xml:space="preserve">(Tél : </w:t>
            </w:r>
            <w:r w:rsidRPr="00C90BFB">
              <w:rPr>
                <w:rFonts w:ascii="Century Gothic" w:hAnsi="Century Gothic"/>
                <w:color w:val="002060"/>
                <w:sz w:val="18"/>
                <w:szCs w:val="18"/>
              </w:rPr>
              <w:t>04.76.44.99.58 / Email : nadegerobin@odti.fr).</w:t>
            </w:r>
          </w:p>
          <w:p w:rsidR="00532B86" w:rsidRDefault="00532B86" w:rsidP="00532B86">
            <w:pPr>
              <w:jc w:val="both"/>
              <w:rPr>
                <w:rFonts w:ascii="Century Gothic" w:hAnsi="Century Gothic"/>
                <w:iCs/>
              </w:rPr>
            </w:pPr>
          </w:p>
          <w:p w:rsidR="00532B86" w:rsidRPr="002348FC" w:rsidRDefault="00532B86" w:rsidP="00532B86">
            <w:p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 xml:space="preserve">Destinataires de la formation : </w:t>
            </w:r>
            <w:r>
              <w:rPr>
                <w:rFonts w:ascii="Century Gothic" w:hAnsi="Century Gothic"/>
                <w:color w:val="002060"/>
                <w:sz w:val="18"/>
                <w:szCs w:val="18"/>
              </w:rPr>
              <w:t>Acteurs institutionnels (privés, publics, associatifs…), personnels des établissements sanitaires, sociaux et médicaux sociaux.</w:t>
            </w:r>
          </w:p>
          <w:p w:rsidR="00532B86" w:rsidRDefault="00532B86" w:rsidP="00532B86">
            <w:pPr>
              <w:jc w:val="both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</w:p>
          <w:p w:rsidR="00532B86" w:rsidRPr="007D79F3" w:rsidRDefault="00532B86" w:rsidP="00532B86">
            <w:p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Techniques d’intervention et supports pédagogiques</w:t>
            </w:r>
            <w:r w:rsidRPr="007D79F3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 </w:t>
            </w:r>
            <w:r w:rsidR="00E7193B">
              <w:rPr>
                <w:rFonts w:ascii="Century Gothic" w:hAnsi="Century Gothic"/>
                <w:color w:val="002060"/>
                <w:sz w:val="18"/>
                <w:szCs w:val="18"/>
              </w:rPr>
              <w:t>: séances</w:t>
            </w:r>
            <w:r>
              <w:rPr>
                <w:rFonts w:ascii="Century Gothic" w:hAnsi="Century Gothic"/>
                <w:color w:val="002060"/>
                <w:sz w:val="18"/>
                <w:szCs w:val="18"/>
              </w:rPr>
              <w:t xml:space="preserve"> de formation en salle animées par les juristes de l’ODTI (Monsieur Elias BOUANANI et Madame Nadège ROBIN), études de cas concrets, exposés théoriques, power point, </w:t>
            </w:r>
            <w:proofErr w:type="spellStart"/>
            <w:r>
              <w:rPr>
                <w:rFonts w:ascii="Century Gothic" w:hAnsi="Century Gothic"/>
                <w:color w:val="002060"/>
                <w:sz w:val="18"/>
                <w:szCs w:val="18"/>
              </w:rPr>
              <w:t>paper-board</w:t>
            </w:r>
            <w:proofErr w:type="spellEnd"/>
            <w:r>
              <w:rPr>
                <w:rFonts w:ascii="Century Gothic" w:hAnsi="Century Gothic"/>
                <w:color w:val="002060"/>
                <w:sz w:val="18"/>
                <w:szCs w:val="18"/>
              </w:rPr>
              <w:t>, remise d’un document de synthèse du contenu de la formation.</w:t>
            </w:r>
          </w:p>
          <w:p w:rsidR="00532B86" w:rsidRPr="00532B86" w:rsidRDefault="00532B86" w:rsidP="00532B86">
            <w:pPr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228" w:type="dxa"/>
          </w:tcPr>
          <w:p w:rsidR="00532B86" w:rsidRDefault="00532B86" w:rsidP="00532B86">
            <w:pPr>
              <w:jc w:val="both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Programme</w:t>
            </w:r>
            <w:r w:rsidRPr="007D79F3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 xml:space="preserve"> : </w:t>
            </w:r>
          </w:p>
          <w:p w:rsidR="00933DB3" w:rsidRDefault="00007507" w:rsidP="00933DB3">
            <w:pPr>
              <w:jc w:val="both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 xml:space="preserve">   </w:t>
            </w:r>
            <w:r w:rsidR="00E36322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L</w:t>
            </w:r>
            <w:r w:rsidR="005778AB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es recours administratifs</w:t>
            </w:r>
          </w:p>
          <w:p w:rsidR="00933DB3" w:rsidRPr="00933DB3" w:rsidRDefault="00933DB3" w:rsidP="00933D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Les recours contre le refus d’enregistrement de la demande de titre de séjour</w:t>
            </w:r>
          </w:p>
          <w:p w:rsidR="00ED2F79" w:rsidRPr="00933DB3" w:rsidRDefault="008B5479" w:rsidP="00933DB3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</w:t>
            </w:r>
            <w:r w:rsidR="005778AB">
              <w:rPr>
                <w:rFonts w:ascii="Century Gothic" w:hAnsi="Century Gothic"/>
                <w:color w:val="002060"/>
                <w:sz w:val="18"/>
                <w:szCs w:val="18"/>
              </w:rPr>
              <w:t>a demande de communication des motifs du rejet implicite d’une demande d’ouverture de droits</w:t>
            </w:r>
          </w:p>
          <w:p w:rsidR="00ED2F79" w:rsidRDefault="00ED2F79" w:rsidP="008B547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Les recours contre un refus de délivrance de titre de séjour</w:t>
            </w:r>
          </w:p>
          <w:p w:rsidR="00ED2F79" w:rsidRDefault="00ED2F79" w:rsidP="008B547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Les recours contre la fixation du pays de renvoie</w:t>
            </w:r>
          </w:p>
          <w:p w:rsidR="00ED2F79" w:rsidRDefault="00ED2F79" w:rsidP="008B547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Les recours contre une obligation à quitter le territoire, expulsion, interdiction de retour sur le territoire français</w:t>
            </w:r>
          </w:p>
          <w:p w:rsidR="008B5479" w:rsidRDefault="00ED2F79" w:rsidP="008B547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 référé liberté</w:t>
            </w:r>
          </w:p>
          <w:p w:rsidR="00ED2F79" w:rsidRDefault="00ED2F79" w:rsidP="00ED2F7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Les recours face au refus d’enregistrement d’une déclaration ressources par la direction générale des finances publiques</w:t>
            </w:r>
          </w:p>
          <w:p w:rsidR="00ED2F79" w:rsidRDefault="00ED2F79" w:rsidP="00ED2F7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La demande d’avis rectificatif d’imposition</w:t>
            </w:r>
          </w:p>
          <w:p w:rsidR="00ED2F79" w:rsidRPr="008B5479" w:rsidRDefault="00ED2F79" w:rsidP="008B547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 recours indemnitaire</w:t>
            </w:r>
          </w:p>
          <w:p w:rsidR="00532B86" w:rsidRPr="00554177" w:rsidRDefault="00532B86" w:rsidP="00532B86">
            <w:p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</w:p>
          <w:p w:rsidR="00532B86" w:rsidRDefault="00007507" w:rsidP="008B5479">
            <w:pPr>
              <w:ind w:left="189" w:hanging="189"/>
              <w:jc w:val="both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 xml:space="preserve">   </w:t>
            </w:r>
            <w:r w:rsidR="004165AE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L</w:t>
            </w:r>
            <w:r w:rsidR="005778AB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es recours juridictionnels</w:t>
            </w:r>
          </w:p>
          <w:p w:rsidR="00ED2F79" w:rsidRDefault="004165AE" w:rsidP="00532B8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</w:t>
            </w:r>
            <w:r w:rsidR="005778AB">
              <w:rPr>
                <w:rFonts w:ascii="Century Gothic" w:hAnsi="Century Gothic"/>
                <w:color w:val="002060"/>
                <w:sz w:val="18"/>
                <w:szCs w:val="18"/>
              </w:rPr>
              <w:t>e</w:t>
            </w:r>
            <w:r w:rsidR="00ED2F79">
              <w:rPr>
                <w:rFonts w:ascii="Century Gothic" w:hAnsi="Century Gothic"/>
                <w:color w:val="002060"/>
                <w:sz w:val="18"/>
                <w:szCs w:val="18"/>
              </w:rPr>
              <w:t xml:space="preserve">s recours face au </w:t>
            </w:r>
            <w:r w:rsidR="005778AB">
              <w:rPr>
                <w:rFonts w:ascii="Century Gothic" w:hAnsi="Century Gothic"/>
                <w:color w:val="002060"/>
                <w:sz w:val="18"/>
                <w:szCs w:val="18"/>
              </w:rPr>
              <w:t>indu</w:t>
            </w:r>
            <w:r w:rsidR="00ED2F79">
              <w:rPr>
                <w:rFonts w:ascii="Century Gothic" w:hAnsi="Century Gothic"/>
                <w:color w:val="002060"/>
                <w:sz w:val="18"/>
                <w:szCs w:val="18"/>
              </w:rPr>
              <w:t>s</w:t>
            </w:r>
          </w:p>
          <w:p w:rsidR="00ED2F79" w:rsidRDefault="00ED2F79" w:rsidP="00532B8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Les recours face aux notifications de fraude</w:t>
            </w:r>
          </w:p>
          <w:p w:rsidR="00532B86" w:rsidRDefault="00ED2F79" w:rsidP="00532B8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L’application du dispositif de compensation</w:t>
            </w:r>
          </w:p>
          <w:p w:rsidR="00E36322" w:rsidRDefault="005778AB" w:rsidP="00532B8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</w:t>
            </w:r>
            <w:r w:rsidR="00ED2F79">
              <w:rPr>
                <w:rFonts w:ascii="Century Gothic" w:hAnsi="Century Gothic"/>
                <w:color w:val="002060"/>
                <w:sz w:val="18"/>
                <w:szCs w:val="18"/>
              </w:rPr>
              <w:t>es recours en cas de refus de première affiliation ou de maintien d’affiliation au régime général de sécurité sociale française (la PUMA)</w:t>
            </w:r>
          </w:p>
          <w:p w:rsidR="00E36322" w:rsidRDefault="00ED2F79" w:rsidP="00532B8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Les recours face aux rejets RSA</w:t>
            </w:r>
          </w:p>
          <w:p w:rsidR="00ED2F79" w:rsidRDefault="00ED2F79" w:rsidP="00532B8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Les recours face aux refus de prestations familiales</w:t>
            </w:r>
          </w:p>
          <w:p w:rsidR="00ED2F79" w:rsidRDefault="00ED2F79" w:rsidP="00532B8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Les recours face aux refus d’ASPA</w:t>
            </w:r>
          </w:p>
          <w:p w:rsidR="00ED2F79" w:rsidRDefault="00ED2F79" w:rsidP="00532B8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color w:val="002060"/>
                <w:sz w:val="18"/>
                <w:szCs w:val="18"/>
              </w:rPr>
              <w:t>Les recours face aux refus de CMU-C/d’ACS pour non application du plafond correspondant (couple par exemple)</w:t>
            </w:r>
          </w:p>
          <w:p w:rsidR="00532B86" w:rsidRPr="00E36322" w:rsidRDefault="00532B86" w:rsidP="00E36322">
            <w:pPr>
              <w:jc w:val="both"/>
              <w:rPr>
                <w:rFonts w:ascii="Century Gothic" w:hAnsi="Century Gothic"/>
                <w:color w:val="002060"/>
                <w:sz w:val="18"/>
                <w:szCs w:val="18"/>
              </w:rPr>
            </w:pPr>
          </w:p>
          <w:p w:rsidR="00532B86" w:rsidRDefault="00007507" w:rsidP="00007507">
            <w:pPr>
              <w:ind w:left="189" w:hanging="189"/>
              <w:jc w:val="both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 xml:space="preserve">   </w:t>
            </w:r>
            <w:r w:rsidR="00AB4C10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Auto é</w:t>
            </w:r>
            <w:r w:rsidR="00532B86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 xml:space="preserve">valuation de fin de formation par des exercices </w:t>
            </w: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 xml:space="preserve">  </w:t>
            </w:r>
            <w:r w:rsidR="00532B86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pratiques.</w:t>
            </w:r>
          </w:p>
          <w:p w:rsidR="00532B86" w:rsidRPr="00532B86" w:rsidRDefault="00532B86" w:rsidP="00D6598D">
            <w:pPr>
              <w:tabs>
                <w:tab w:val="left" w:pos="3209"/>
              </w:tabs>
              <w:jc w:val="both"/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</w:pPr>
          </w:p>
        </w:tc>
      </w:tr>
      <w:tr w:rsidR="00933DB3" w:rsidRPr="00532B86" w:rsidTr="001E793E">
        <w:tc>
          <w:tcPr>
            <w:tcW w:w="5228" w:type="dxa"/>
          </w:tcPr>
          <w:p w:rsidR="00933DB3" w:rsidRDefault="00933DB3" w:rsidP="00532B86">
            <w:pPr>
              <w:jc w:val="both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</w:p>
        </w:tc>
        <w:tc>
          <w:tcPr>
            <w:tcW w:w="5228" w:type="dxa"/>
          </w:tcPr>
          <w:p w:rsidR="00933DB3" w:rsidRDefault="00933DB3" w:rsidP="00532B86">
            <w:pPr>
              <w:jc w:val="both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</w:p>
        </w:tc>
      </w:tr>
    </w:tbl>
    <w:p w:rsidR="00062035" w:rsidRDefault="00062035" w:rsidP="00D6598D">
      <w:pPr>
        <w:tabs>
          <w:tab w:val="left" w:pos="3209"/>
        </w:tabs>
        <w:jc w:val="both"/>
        <w:rPr>
          <w:rFonts w:ascii="Century Gothic" w:hAnsi="Century Gothic"/>
          <w:iCs/>
          <w:color w:val="002060"/>
          <w:sz w:val="18"/>
          <w:szCs w:val="18"/>
        </w:rPr>
      </w:pPr>
      <w:r w:rsidRPr="00E92EC5">
        <w:rPr>
          <w:rFonts w:ascii="Century Gothic" w:hAnsi="Century Gothic"/>
          <w:iCs/>
          <w:color w:val="002060"/>
          <w:sz w:val="18"/>
          <w:szCs w:val="18"/>
        </w:rPr>
        <w:t>L’ODTI est agréé au titre de la formation permanente (n° de déclaration d’activité : 82380526638)</w:t>
      </w:r>
    </w:p>
    <w:p w:rsidR="001E793E" w:rsidRDefault="00E92EC5" w:rsidP="00D6598D">
      <w:pPr>
        <w:tabs>
          <w:tab w:val="left" w:pos="3209"/>
        </w:tabs>
        <w:jc w:val="both"/>
        <w:rPr>
          <w:rFonts w:ascii="Century Gothic" w:hAnsi="Century Gothic"/>
          <w:iCs/>
          <w:color w:val="002060"/>
          <w:sz w:val="18"/>
          <w:szCs w:val="18"/>
        </w:rPr>
      </w:pPr>
      <w:r>
        <w:rPr>
          <w:rFonts w:ascii="Century Gothic" w:hAnsi="Century Gothic"/>
          <w:iCs/>
          <w:color w:val="002060"/>
          <w:sz w:val="18"/>
          <w:szCs w:val="18"/>
        </w:rPr>
        <w:t>Formation</w:t>
      </w:r>
      <w:r w:rsidR="00280514">
        <w:rPr>
          <w:rFonts w:ascii="Century Gothic" w:hAnsi="Century Gothic"/>
          <w:iCs/>
          <w:color w:val="002060"/>
          <w:sz w:val="18"/>
          <w:szCs w:val="18"/>
        </w:rPr>
        <w:t>s</w:t>
      </w:r>
      <w:r>
        <w:rPr>
          <w:rFonts w:ascii="Century Gothic" w:hAnsi="Century Gothic"/>
          <w:iCs/>
          <w:color w:val="002060"/>
          <w:sz w:val="18"/>
          <w:szCs w:val="18"/>
        </w:rPr>
        <w:t xml:space="preserve"> organisée</w:t>
      </w:r>
      <w:r w:rsidR="00280514">
        <w:rPr>
          <w:rFonts w:ascii="Century Gothic" w:hAnsi="Century Gothic"/>
          <w:iCs/>
          <w:color w:val="002060"/>
          <w:sz w:val="18"/>
          <w:szCs w:val="18"/>
        </w:rPr>
        <w:t>s</w:t>
      </w:r>
      <w:r>
        <w:rPr>
          <w:rFonts w:ascii="Century Gothic" w:hAnsi="Century Gothic"/>
          <w:iCs/>
          <w:color w:val="002060"/>
          <w:sz w:val="18"/>
          <w:szCs w:val="18"/>
        </w:rPr>
        <w:t xml:space="preserve"> également sur demande en intra ou pour plusieurs structures d’un territoire. Nous contacter.</w:t>
      </w:r>
    </w:p>
    <w:p w:rsidR="001E793E" w:rsidRPr="001E793E" w:rsidRDefault="001E793E" w:rsidP="00D6598D">
      <w:pPr>
        <w:tabs>
          <w:tab w:val="left" w:pos="3209"/>
        </w:tabs>
        <w:jc w:val="both"/>
        <w:rPr>
          <w:rFonts w:ascii="Century Gothic" w:hAnsi="Century Gothic"/>
          <w:iCs/>
          <w:color w:val="002060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B4C10" w:rsidTr="00AB4C10">
        <w:tc>
          <w:tcPr>
            <w:tcW w:w="10456" w:type="dxa"/>
          </w:tcPr>
          <w:p w:rsidR="00AB4C10" w:rsidRPr="00AB4C10" w:rsidRDefault="00AB4C10" w:rsidP="00AB4C10">
            <w:pPr>
              <w:tabs>
                <w:tab w:val="left" w:pos="3209"/>
              </w:tabs>
              <w:jc w:val="center"/>
              <w:rPr>
                <w:rFonts w:ascii="Century Gothic" w:hAnsi="Century Gothic"/>
                <w:b/>
                <w:iCs/>
                <w:color w:val="002060"/>
                <w:sz w:val="16"/>
                <w:szCs w:val="16"/>
              </w:rPr>
            </w:pPr>
            <w:r w:rsidRPr="00AB4C10">
              <w:rPr>
                <w:rFonts w:ascii="Century Gothic" w:hAnsi="Century Gothic"/>
                <w:b/>
                <w:iCs/>
                <w:color w:val="002060"/>
                <w:sz w:val="16"/>
                <w:szCs w:val="16"/>
              </w:rPr>
              <w:t>Observatoire sur les Discriminations et les Territoires Interculturels</w:t>
            </w:r>
          </w:p>
          <w:p w:rsidR="00AB4C10" w:rsidRPr="00AB4C10" w:rsidRDefault="00AB4C10" w:rsidP="00AB4C10">
            <w:pPr>
              <w:tabs>
                <w:tab w:val="left" w:pos="3209"/>
              </w:tabs>
              <w:jc w:val="center"/>
              <w:rPr>
                <w:rFonts w:ascii="Century Gothic" w:hAnsi="Century Gothic"/>
                <w:iCs/>
                <w:color w:val="002060"/>
                <w:sz w:val="16"/>
                <w:szCs w:val="16"/>
              </w:rPr>
            </w:pPr>
            <w:r w:rsidRPr="00AB4C10">
              <w:rPr>
                <w:rFonts w:ascii="Century Gothic" w:hAnsi="Century Gothic"/>
                <w:iCs/>
                <w:color w:val="002060"/>
                <w:sz w:val="16"/>
                <w:szCs w:val="16"/>
              </w:rPr>
              <w:t>Association Loi 1901 – 7 Place Edmond Arnaud – 38000 Grenoble</w:t>
            </w:r>
          </w:p>
          <w:p w:rsidR="00AB4C10" w:rsidRPr="00AB4C10" w:rsidRDefault="00AB4C10" w:rsidP="00AB4C10">
            <w:pPr>
              <w:tabs>
                <w:tab w:val="left" w:pos="3209"/>
              </w:tabs>
              <w:ind w:left="1985" w:hanging="1985"/>
              <w:jc w:val="center"/>
              <w:rPr>
                <w:rFonts w:ascii="Century Gothic" w:hAnsi="Century Gothic"/>
                <w:b/>
                <w:color w:val="002060"/>
                <w:sz w:val="16"/>
              </w:rPr>
            </w:pPr>
            <w:r w:rsidRPr="00AB4C10">
              <w:rPr>
                <w:rFonts w:ascii="Century Gothic" w:hAnsi="Century Gothic"/>
                <w:color w:val="002060"/>
                <w:sz w:val="16"/>
              </w:rPr>
              <w:sym w:font="Wingdings" w:char="F028"/>
            </w:r>
            <w:r w:rsidRPr="00AB4C10">
              <w:rPr>
                <w:rFonts w:ascii="Century Gothic" w:hAnsi="Century Gothic"/>
                <w:color w:val="002060"/>
                <w:sz w:val="16"/>
              </w:rPr>
              <w:t xml:space="preserve"> 04.76.42.60.45 – Fax 04.76.01.02.46 –observatoire @odti.fr</w:t>
            </w:r>
          </w:p>
          <w:p w:rsidR="00AB4C10" w:rsidRDefault="00AB4C10" w:rsidP="00AB4C10">
            <w:pPr>
              <w:tabs>
                <w:tab w:val="left" w:pos="3209"/>
              </w:tabs>
              <w:jc w:val="center"/>
              <w:rPr>
                <w:rFonts w:ascii="Century Gothic" w:hAnsi="Century Gothic"/>
                <w:iCs/>
                <w:color w:val="244061" w:themeColor="accent1" w:themeShade="80"/>
                <w:sz w:val="18"/>
                <w:szCs w:val="18"/>
              </w:rPr>
            </w:pPr>
          </w:p>
        </w:tc>
      </w:tr>
    </w:tbl>
    <w:p w:rsidR="00062501" w:rsidRPr="00AB4C10" w:rsidRDefault="00062501" w:rsidP="00D6598D">
      <w:pPr>
        <w:tabs>
          <w:tab w:val="left" w:pos="3209"/>
        </w:tabs>
        <w:jc w:val="both"/>
        <w:rPr>
          <w:rFonts w:ascii="Century Gothic" w:hAnsi="Century Gothic"/>
          <w:iCs/>
          <w:color w:val="244061" w:themeColor="accent1" w:themeShade="80"/>
          <w:sz w:val="18"/>
          <w:szCs w:val="18"/>
        </w:rPr>
      </w:pPr>
    </w:p>
    <w:p w:rsidR="00062501" w:rsidRPr="00BC248F" w:rsidRDefault="00AB4C10" w:rsidP="00BC248F">
      <w:pPr>
        <w:tabs>
          <w:tab w:val="left" w:pos="3209"/>
        </w:tabs>
        <w:ind w:left="1985" w:hanging="1985"/>
        <w:jc w:val="center"/>
        <w:rPr>
          <w:rFonts w:ascii="Century Gothic" w:hAnsi="Century Gothic"/>
          <w:color w:val="000080"/>
          <w:sz w:val="16"/>
        </w:rPr>
      </w:pPr>
      <w:r>
        <w:rPr>
          <w:rFonts w:ascii="Century Gothic" w:hAnsi="Century Gothic"/>
          <w:color w:val="000080"/>
          <w:sz w:val="16"/>
        </w:rPr>
        <w:t xml:space="preserve"> </w:t>
      </w:r>
      <w:bookmarkStart w:id="0" w:name="_GoBack"/>
      <w:bookmarkEnd w:id="0"/>
    </w:p>
    <w:sectPr w:rsidR="00062501" w:rsidRPr="00BC248F" w:rsidSect="00532B8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125E"/>
    <w:multiLevelType w:val="hybridMultilevel"/>
    <w:tmpl w:val="82CC40E8"/>
    <w:lvl w:ilvl="0" w:tplc="2E9C8B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C920637C">
      <w:start w:val="2"/>
      <w:numFmt w:val="bullet"/>
      <w:lvlText w:val=""/>
      <w:lvlJc w:val="left"/>
      <w:pPr>
        <w:ind w:left="4500" w:hanging="360"/>
      </w:pPr>
      <w:rPr>
        <w:rFonts w:ascii="Wingdings" w:eastAsia="Calibri" w:hAnsi="Wingdings" w:cs="Times New Roman" w:hint="default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72BD6"/>
    <w:multiLevelType w:val="hybridMultilevel"/>
    <w:tmpl w:val="03FE6788"/>
    <w:lvl w:ilvl="0" w:tplc="1A3236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E1347"/>
    <w:multiLevelType w:val="hybridMultilevel"/>
    <w:tmpl w:val="20FE160A"/>
    <w:lvl w:ilvl="0" w:tplc="2E9C8B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C920637C">
      <w:start w:val="2"/>
      <w:numFmt w:val="bullet"/>
      <w:lvlText w:val=""/>
      <w:lvlJc w:val="left"/>
      <w:pPr>
        <w:ind w:left="4500" w:hanging="360"/>
      </w:pPr>
      <w:rPr>
        <w:rFonts w:ascii="Wingdings" w:eastAsia="Calibri" w:hAnsi="Wingdings" w:cs="Times New Roman" w:hint="default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23"/>
    <w:rsid w:val="00007507"/>
    <w:rsid w:val="0005696C"/>
    <w:rsid w:val="00062035"/>
    <w:rsid w:val="00062501"/>
    <w:rsid w:val="00071554"/>
    <w:rsid w:val="001A222D"/>
    <w:rsid w:val="001C4128"/>
    <w:rsid w:val="001D6885"/>
    <w:rsid w:val="001E793E"/>
    <w:rsid w:val="002105E2"/>
    <w:rsid w:val="002348FC"/>
    <w:rsid w:val="00280514"/>
    <w:rsid w:val="002B0173"/>
    <w:rsid w:val="002D1F1A"/>
    <w:rsid w:val="002D43D3"/>
    <w:rsid w:val="0032501D"/>
    <w:rsid w:val="00361F70"/>
    <w:rsid w:val="00366DF2"/>
    <w:rsid w:val="003E07EC"/>
    <w:rsid w:val="004165AE"/>
    <w:rsid w:val="004429D2"/>
    <w:rsid w:val="00480AE6"/>
    <w:rsid w:val="00484411"/>
    <w:rsid w:val="005158BE"/>
    <w:rsid w:val="00532B86"/>
    <w:rsid w:val="00554177"/>
    <w:rsid w:val="005778AB"/>
    <w:rsid w:val="006F0D1D"/>
    <w:rsid w:val="007D79F3"/>
    <w:rsid w:val="008A5AD2"/>
    <w:rsid w:val="008B5479"/>
    <w:rsid w:val="00933DB3"/>
    <w:rsid w:val="00954876"/>
    <w:rsid w:val="0096268D"/>
    <w:rsid w:val="009A6FD8"/>
    <w:rsid w:val="009E38C8"/>
    <w:rsid w:val="009F12AF"/>
    <w:rsid w:val="009F65BF"/>
    <w:rsid w:val="00A3595B"/>
    <w:rsid w:val="00AA144B"/>
    <w:rsid w:val="00AB4C10"/>
    <w:rsid w:val="00AE35AF"/>
    <w:rsid w:val="00B01A74"/>
    <w:rsid w:val="00B37764"/>
    <w:rsid w:val="00BC248F"/>
    <w:rsid w:val="00BD6D68"/>
    <w:rsid w:val="00C42D48"/>
    <w:rsid w:val="00C90BFB"/>
    <w:rsid w:val="00D350B6"/>
    <w:rsid w:val="00D654F3"/>
    <w:rsid w:val="00D6598D"/>
    <w:rsid w:val="00DD4A23"/>
    <w:rsid w:val="00DE603A"/>
    <w:rsid w:val="00E0585F"/>
    <w:rsid w:val="00E206F0"/>
    <w:rsid w:val="00E215DA"/>
    <w:rsid w:val="00E36322"/>
    <w:rsid w:val="00E4048E"/>
    <w:rsid w:val="00E541B0"/>
    <w:rsid w:val="00E7193B"/>
    <w:rsid w:val="00E92EC5"/>
    <w:rsid w:val="00ED2F79"/>
    <w:rsid w:val="00F3156A"/>
    <w:rsid w:val="00F77848"/>
    <w:rsid w:val="00FB2524"/>
    <w:rsid w:val="00FB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34C9"/>
  <w15:docId w15:val="{503EC46B-F10F-471D-9509-FB866AC0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2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A23"/>
    <w:pPr>
      <w:ind w:left="720"/>
      <w:contextualSpacing/>
    </w:pPr>
  </w:style>
  <w:style w:type="character" w:styleId="Lienhypertexte">
    <w:name w:val="Hyperlink"/>
    <w:basedOn w:val="Policepardfaut"/>
    <w:rsid w:val="0006203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062501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62501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9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asbouanani@odti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odti5</dc:creator>
  <cp:lastModifiedBy>nro</cp:lastModifiedBy>
  <cp:revision>2</cp:revision>
  <cp:lastPrinted>2017-09-12T12:53:00Z</cp:lastPrinted>
  <dcterms:created xsi:type="dcterms:W3CDTF">2018-09-03T14:28:00Z</dcterms:created>
  <dcterms:modified xsi:type="dcterms:W3CDTF">2018-09-03T14:28:00Z</dcterms:modified>
</cp:coreProperties>
</file>