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83" w:rsidRDefault="00B15F13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477001" cy="857250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533383" w:rsidRDefault="00B15F13">
      <w:pPr>
        <w:spacing w:after="2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33383" w:rsidRDefault="00B15F13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728" w:type="dxa"/>
        <w:tblInd w:w="-130" w:type="dxa"/>
        <w:tblCellMar>
          <w:top w:w="110" w:type="dxa"/>
          <w:left w:w="130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0728"/>
      </w:tblGrid>
      <w:tr w:rsidR="00533383" w:rsidTr="003A1912">
        <w:trPr>
          <w:trHeight w:val="1101"/>
        </w:trPr>
        <w:tc>
          <w:tcPr>
            <w:tcW w:w="10728" w:type="dxa"/>
            <w:tcBorders>
              <w:top w:val="single" w:sz="17" w:space="0" w:color="1F497D"/>
              <w:left w:val="single" w:sz="17" w:space="0" w:color="1F497D"/>
              <w:bottom w:val="single" w:sz="17" w:space="0" w:color="1F497D"/>
              <w:right w:val="single" w:sz="17" w:space="0" w:color="1F497D"/>
            </w:tcBorders>
          </w:tcPr>
          <w:p w:rsidR="003A1912" w:rsidRDefault="003A1912" w:rsidP="003A1912">
            <w:pPr>
              <w:spacing w:after="2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L’ENTREE ET LE</w:t>
            </w:r>
            <w:r w:rsidR="00B15F13">
              <w:rPr>
                <w:b/>
                <w:sz w:val="24"/>
              </w:rPr>
              <w:t xml:space="preserve"> SEJOUR </w:t>
            </w:r>
            <w:r>
              <w:rPr>
                <w:b/>
                <w:sz w:val="24"/>
              </w:rPr>
              <w:t xml:space="preserve">DES ETRANGERS EN France </w:t>
            </w:r>
            <w:r w:rsidR="00B15F13">
              <w:rPr>
                <w:b/>
                <w:sz w:val="24"/>
              </w:rPr>
              <w:t>(européens UE – non européens UE)</w:t>
            </w:r>
            <w:r>
              <w:rPr>
                <w:b/>
                <w:sz w:val="24"/>
              </w:rPr>
              <w:t> </w:t>
            </w:r>
          </w:p>
          <w:p w:rsidR="003A1912" w:rsidRDefault="003A1912" w:rsidP="003A1912">
            <w:pPr>
              <w:spacing w:after="2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 DROIT APPLICABLE EN 2018 </w:t>
            </w:r>
          </w:p>
          <w:p w:rsidR="00533383" w:rsidRDefault="00B15F13" w:rsidP="003A1912">
            <w:pPr>
              <w:spacing w:after="2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(1 journée</w:t>
            </w:r>
            <w:r>
              <w:rPr>
                <w:b/>
                <w:sz w:val="22"/>
              </w:rPr>
              <w:t>)</w:t>
            </w:r>
          </w:p>
        </w:tc>
      </w:tr>
    </w:tbl>
    <w:p w:rsidR="00533383" w:rsidRDefault="00533383">
      <w:pPr>
        <w:sectPr w:rsidR="00533383">
          <w:pgSz w:w="11906" w:h="16838"/>
          <w:pgMar w:top="720" w:right="785" w:bottom="839" w:left="720" w:header="720" w:footer="720" w:gutter="0"/>
          <w:cols w:space="720"/>
        </w:sectPr>
      </w:pPr>
    </w:p>
    <w:p w:rsidR="0067292B" w:rsidRDefault="00B15F13" w:rsidP="0067292B">
      <w:pPr>
        <w:spacing w:after="13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533383" w:rsidRDefault="00B15F13" w:rsidP="0067292B">
      <w:pPr>
        <w:spacing w:after="13" w:line="259" w:lineRule="auto"/>
        <w:ind w:left="0" w:firstLine="0"/>
        <w:jc w:val="left"/>
      </w:pPr>
      <w:r>
        <w:rPr>
          <w:b/>
        </w:rPr>
        <w:t xml:space="preserve">Objectifs pédagogiques : </w:t>
      </w:r>
    </w:p>
    <w:p w:rsidR="00533383" w:rsidRDefault="00B15F13">
      <w:pPr>
        <w:numPr>
          <w:ilvl w:val="0"/>
          <w:numId w:val="1"/>
        </w:numPr>
        <w:ind w:hanging="360"/>
      </w:pPr>
      <w:r>
        <w:t xml:space="preserve">S’approprier et approfondir un savoir de base, </w:t>
      </w:r>
    </w:p>
    <w:p w:rsidR="00533383" w:rsidRDefault="00B15F13">
      <w:pPr>
        <w:numPr>
          <w:ilvl w:val="0"/>
          <w:numId w:val="1"/>
        </w:numPr>
        <w:ind w:hanging="360"/>
      </w:pPr>
      <w:r>
        <w:t xml:space="preserve">Savoir évaluer et au besoin orienter les situations complexes pour apporter de meilleures réponses aux ressortissants étrangers dans leurs démarches, </w:t>
      </w:r>
    </w:p>
    <w:p w:rsidR="00533383" w:rsidRDefault="00B15F13">
      <w:pPr>
        <w:numPr>
          <w:ilvl w:val="0"/>
          <w:numId w:val="1"/>
        </w:numPr>
        <w:ind w:hanging="360"/>
      </w:pPr>
      <w:r>
        <w:t>Agir de manière adaptée face aux décisions de rejet de droit au séjour notifiées aux ressortissants étran</w:t>
      </w:r>
      <w:r>
        <w:t xml:space="preserve">gers. </w:t>
      </w:r>
    </w:p>
    <w:p w:rsidR="00533383" w:rsidRDefault="00B15F13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</w:p>
    <w:p w:rsidR="00533383" w:rsidRDefault="00B15F13">
      <w:pPr>
        <w:spacing w:after="12"/>
        <w:ind w:left="118"/>
        <w:jc w:val="left"/>
      </w:pPr>
      <w:r>
        <w:rPr>
          <w:b/>
        </w:rPr>
        <w:t xml:space="preserve">Date :  </w:t>
      </w:r>
    </w:p>
    <w:p w:rsidR="00533383" w:rsidRDefault="0067292B">
      <w:pPr>
        <w:ind w:left="118"/>
      </w:pPr>
      <w:r>
        <w:rPr>
          <w:b/>
        </w:rPr>
        <w:t>Le Mardi 04/10</w:t>
      </w:r>
      <w:r w:rsidR="00B15F13">
        <w:rPr>
          <w:b/>
        </w:rPr>
        <w:t>/2018 - Grenoble</w:t>
      </w:r>
      <w:r w:rsidR="00B15F13">
        <w:t xml:space="preserve"> – Résidence Sociale ODTI</w:t>
      </w:r>
      <w:r w:rsidR="00B15F13">
        <w:rPr>
          <w:b/>
        </w:rPr>
        <w:t xml:space="preserve"> – </w:t>
      </w:r>
      <w:r w:rsidR="00B15F13">
        <w:t>7 Place Edmond Arnaud (arrêt de tram Notre Dame Musée) – 38000 -</w:t>
      </w:r>
      <w:r w:rsidR="00B15F13">
        <w:rPr>
          <w:b/>
        </w:rPr>
        <w:t xml:space="preserve"> </w:t>
      </w:r>
      <w:r w:rsidR="00B15F13">
        <w:t xml:space="preserve">1 journée de formation professionnelle continue de 9H à 12H et de 14H à 17H -  220 euros (exo TVA). </w:t>
      </w:r>
    </w:p>
    <w:p w:rsidR="00533383" w:rsidRDefault="00B15F13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</w:p>
    <w:p w:rsidR="00533383" w:rsidRDefault="00B15F13">
      <w:pPr>
        <w:spacing w:after="41" w:line="239" w:lineRule="auto"/>
        <w:ind w:left="108" w:right="49" w:firstLine="0"/>
      </w:pPr>
      <w:r>
        <w:rPr>
          <w:b/>
        </w:rPr>
        <w:t xml:space="preserve">Référents et Intervenants : </w:t>
      </w:r>
      <w:r>
        <w:rPr>
          <w:color w:val="17365D"/>
        </w:rPr>
        <w:t xml:space="preserve">Monsieur Elias BOUANANI, responsable du pôle juridique ressources (Tél : 04.76.44.99.51 / Email : eliasbouanani@odti.fr) et Madame Nadège ROBIN, juriste près du service juridique de l’ODTI </w:t>
      </w:r>
      <w:r>
        <w:rPr>
          <w:color w:val="244061"/>
        </w:rPr>
        <w:t xml:space="preserve">(Tél : </w:t>
      </w:r>
      <w:r>
        <w:t>04.76.44.99.58 / Email : nadeger</w:t>
      </w:r>
      <w:r>
        <w:t xml:space="preserve">obin@odti.fr). </w:t>
      </w:r>
    </w:p>
    <w:p w:rsidR="00533383" w:rsidRDefault="00B15F13">
      <w:pPr>
        <w:spacing w:after="0" w:line="259" w:lineRule="auto"/>
        <w:ind w:left="108" w:firstLine="0"/>
        <w:jc w:val="left"/>
      </w:pPr>
      <w:r>
        <w:rPr>
          <w:color w:val="000000"/>
          <w:sz w:val="22"/>
        </w:rPr>
        <w:t xml:space="preserve"> </w:t>
      </w:r>
    </w:p>
    <w:p w:rsidR="00533383" w:rsidRDefault="00B15F13">
      <w:pPr>
        <w:ind w:left="118"/>
      </w:pPr>
      <w:r>
        <w:rPr>
          <w:b/>
        </w:rPr>
        <w:t xml:space="preserve">Destinataires de la formation : </w:t>
      </w:r>
      <w:r>
        <w:t xml:space="preserve">Acteurs institutionnels (privés, publics, associatifs…), personnels des établissements sanitaires, sociaux et médicaux sociaux. </w:t>
      </w:r>
    </w:p>
    <w:p w:rsidR="00533383" w:rsidRDefault="00B15F13">
      <w:pPr>
        <w:spacing w:after="0" w:line="259" w:lineRule="auto"/>
        <w:ind w:left="108" w:firstLine="0"/>
        <w:jc w:val="left"/>
      </w:pPr>
      <w:r>
        <w:rPr>
          <w:b/>
        </w:rPr>
        <w:t xml:space="preserve"> </w:t>
      </w:r>
    </w:p>
    <w:p w:rsidR="00533383" w:rsidRDefault="00B15F13">
      <w:pPr>
        <w:ind w:left="118"/>
      </w:pPr>
      <w:r>
        <w:rPr>
          <w:b/>
        </w:rPr>
        <w:t xml:space="preserve">Techniques d’intervention et supports pédagogiques </w:t>
      </w:r>
      <w:r w:rsidR="0067292B">
        <w:t>: S</w:t>
      </w:r>
      <w:r>
        <w:t>éances de formation e</w:t>
      </w:r>
      <w:r>
        <w:t xml:space="preserve">n salle animées par les juristes de l’ODTI (Monsieur Elias BOUANANI et Madame Nadège ROBIN), études de cas concrets, exposés théoriques, power point, </w:t>
      </w:r>
      <w:proofErr w:type="spellStart"/>
      <w:r>
        <w:t>paper-board</w:t>
      </w:r>
      <w:proofErr w:type="spellEnd"/>
      <w:r>
        <w:t xml:space="preserve">, remise d’un document de synthèse du contenu de la formation. </w:t>
      </w:r>
    </w:p>
    <w:p w:rsidR="00533383" w:rsidRDefault="00B15F13">
      <w:pPr>
        <w:spacing w:after="0" w:line="259" w:lineRule="auto"/>
        <w:ind w:left="108" w:firstLine="0"/>
        <w:jc w:val="left"/>
      </w:pPr>
      <w:r>
        <w:rPr>
          <w:b/>
          <w:color w:val="1F497D"/>
        </w:rPr>
        <w:t xml:space="preserve"> </w:t>
      </w:r>
    </w:p>
    <w:p w:rsidR="0067292B" w:rsidRDefault="0067292B" w:rsidP="0067292B">
      <w:pPr>
        <w:spacing w:after="0" w:line="259" w:lineRule="auto"/>
        <w:ind w:left="0" w:firstLine="0"/>
        <w:jc w:val="left"/>
        <w:rPr>
          <w:b/>
        </w:rPr>
      </w:pPr>
    </w:p>
    <w:p w:rsidR="00533383" w:rsidRDefault="00B15F13" w:rsidP="0067292B">
      <w:pPr>
        <w:spacing w:after="0" w:line="259" w:lineRule="auto"/>
        <w:ind w:left="0" w:firstLine="0"/>
        <w:jc w:val="left"/>
      </w:pPr>
      <w:r>
        <w:rPr>
          <w:b/>
        </w:rPr>
        <w:t xml:space="preserve">Programme :  </w:t>
      </w:r>
    </w:p>
    <w:p w:rsidR="0067292B" w:rsidRDefault="00B15F13">
      <w:pPr>
        <w:spacing w:after="12"/>
        <w:ind w:left="-5"/>
        <w:jc w:val="left"/>
        <w:rPr>
          <w:b/>
        </w:rPr>
      </w:pPr>
      <w:r>
        <w:rPr>
          <w:b/>
        </w:rPr>
        <w:t xml:space="preserve">   </w:t>
      </w:r>
    </w:p>
    <w:p w:rsidR="00533383" w:rsidRDefault="00DD1174">
      <w:pPr>
        <w:spacing w:after="12"/>
        <w:ind w:left="-5"/>
        <w:jc w:val="left"/>
      </w:pPr>
      <w:r>
        <w:rPr>
          <w:b/>
        </w:rPr>
        <w:t xml:space="preserve">Le droit au séjour provisoire ou durable en France </w:t>
      </w:r>
    </w:p>
    <w:p w:rsidR="00533383" w:rsidRDefault="00B15F13">
      <w:pPr>
        <w:numPr>
          <w:ilvl w:val="0"/>
          <w:numId w:val="2"/>
        </w:numPr>
        <w:ind w:hanging="360"/>
      </w:pPr>
      <w:r>
        <w:t xml:space="preserve">Les conditions </w:t>
      </w:r>
      <w:r w:rsidR="00DD1174">
        <w:t>de séjour</w:t>
      </w:r>
      <w:r>
        <w:t> :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Pour une personne européenne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Pour une personne étrangère non européenne</w:t>
      </w:r>
    </w:p>
    <w:p w:rsidR="00533383" w:rsidRDefault="00DD1174">
      <w:pPr>
        <w:numPr>
          <w:ilvl w:val="0"/>
          <w:numId w:val="2"/>
        </w:numPr>
        <w:ind w:hanging="360"/>
      </w:pPr>
      <w:r>
        <w:t>Les documents délivrés par la Préfecture valant autorisation de séjour provisoire</w:t>
      </w:r>
      <w:r w:rsidR="00B15F13">
        <w:t> :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Le récépissé de demande de titre de séjour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L’autorisation provisoire de séjour (APS)</w:t>
      </w:r>
    </w:p>
    <w:p w:rsidR="00DD1174" w:rsidRDefault="00DD1174">
      <w:pPr>
        <w:numPr>
          <w:ilvl w:val="0"/>
          <w:numId w:val="2"/>
        </w:numPr>
        <w:ind w:hanging="360"/>
      </w:pPr>
      <w:r>
        <w:t>La carte de résident</w:t>
      </w:r>
      <w:r w:rsidR="00B15F13">
        <w:t> :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résident délivrée de plein droit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résident pour résident longue durée délivrée de plein droit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résident délivrée sur décision discrétionnaire du Préfet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Le principe de renouvellement de plein droit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résident permanent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Les exceptions au principe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résident mention « retraité »</w:t>
      </w:r>
    </w:p>
    <w:p w:rsidR="00DD1174" w:rsidRDefault="00DD1174">
      <w:pPr>
        <w:numPr>
          <w:ilvl w:val="0"/>
          <w:numId w:val="2"/>
        </w:numPr>
        <w:ind w:hanging="360"/>
      </w:pPr>
      <w:r>
        <w:t>Les différentes catégories de cartes de séjour temporaire</w:t>
      </w:r>
      <w:r w:rsidR="00B15F13">
        <w:t> :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séjour « visiteur »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séjour « salarié »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séjour « étudiant »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séjour temporaire « vie privée et familiale »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séjour « vie privée et familiale » pour motifs humanitaires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résident de longue durée CE accordée par un autre Etat membre de l’UE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séjour « vie privée et familiale » pour résident de longue durée CE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pluriannuelle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de séjour pluriannuelle mention « passeport talent »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carte bleue européenne</w:t>
      </w:r>
    </w:p>
    <w:p w:rsidR="00DD1174" w:rsidRDefault="00DD1174">
      <w:pPr>
        <w:numPr>
          <w:ilvl w:val="0"/>
          <w:numId w:val="2"/>
        </w:numPr>
        <w:ind w:hanging="360"/>
      </w:pPr>
      <w:r>
        <w:t>La procédure de délivrance du titre de séjour</w:t>
      </w:r>
    </w:p>
    <w:p w:rsidR="00DD1174" w:rsidRDefault="00DD1174">
      <w:pPr>
        <w:numPr>
          <w:ilvl w:val="0"/>
          <w:numId w:val="2"/>
        </w:numPr>
        <w:ind w:hanging="360"/>
      </w:pPr>
      <w:r>
        <w:t>La procédure de renouvellement du titre de séjour</w:t>
      </w:r>
    </w:p>
    <w:p w:rsidR="00DD1174" w:rsidRDefault="00DD1174">
      <w:pPr>
        <w:numPr>
          <w:ilvl w:val="0"/>
          <w:numId w:val="2"/>
        </w:numPr>
        <w:ind w:hanging="360"/>
      </w:pPr>
      <w:r>
        <w:t>Le contrat d’intégration républicaine (CIR)</w:t>
      </w:r>
    </w:p>
    <w:p w:rsidR="00533383" w:rsidRDefault="00B15F13">
      <w:pPr>
        <w:spacing w:after="0" w:line="259" w:lineRule="auto"/>
        <w:ind w:left="720" w:firstLine="0"/>
        <w:jc w:val="left"/>
      </w:pPr>
      <w:r>
        <w:t xml:space="preserve"> </w:t>
      </w:r>
    </w:p>
    <w:p w:rsidR="00533383" w:rsidRDefault="00B15F13">
      <w:pPr>
        <w:spacing w:after="12"/>
        <w:ind w:left="-5"/>
        <w:jc w:val="left"/>
      </w:pPr>
      <w:r>
        <w:rPr>
          <w:b/>
        </w:rPr>
        <w:t xml:space="preserve">   Le droit</w:t>
      </w:r>
      <w:r w:rsidR="00DD1174">
        <w:rPr>
          <w:b/>
        </w:rPr>
        <w:t xml:space="preserve"> à l’asile</w:t>
      </w:r>
      <w:r>
        <w:rPr>
          <w:b/>
        </w:rPr>
        <w:t xml:space="preserve"> en France  </w:t>
      </w:r>
    </w:p>
    <w:p w:rsidR="00533383" w:rsidRDefault="00DD1174">
      <w:pPr>
        <w:numPr>
          <w:ilvl w:val="0"/>
          <w:numId w:val="2"/>
        </w:numPr>
        <w:ind w:hanging="360"/>
      </w:pPr>
      <w:r>
        <w:t>Le statut de réfugié</w:t>
      </w:r>
    </w:p>
    <w:p w:rsidR="00533383" w:rsidRDefault="00DD1174">
      <w:pPr>
        <w:numPr>
          <w:ilvl w:val="0"/>
          <w:numId w:val="2"/>
        </w:numPr>
        <w:ind w:hanging="360"/>
      </w:pPr>
      <w:r>
        <w:t>La protection subsidiaire</w:t>
      </w:r>
    </w:p>
    <w:p w:rsidR="00533383" w:rsidRDefault="00DD1174">
      <w:pPr>
        <w:numPr>
          <w:ilvl w:val="0"/>
          <w:numId w:val="2"/>
        </w:numPr>
        <w:ind w:hanging="360"/>
      </w:pPr>
      <w:r>
        <w:t>L’apatridie</w:t>
      </w:r>
    </w:p>
    <w:p w:rsidR="00533383" w:rsidRDefault="00DD1174" w:rsidP="00DD1174">
      <w:pPr>
        <w:numPr>
          <w:ilvl w:val="0"/>
          <w:numId w:val="2"/>
        </w:numPr>
        <w:ind w:hanging="360"/>
      </w:pPr>
      <w:r>
        <w:t>La procédure de reconnaissance de la qualité de réfugié</w:t>
      </w:r>
      <w:r w:rsidR="00B15F13">
        <w:t> :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Le pré-accueil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L’enregistrement de la demande d’asile au guichet unique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L’OFII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Le traitement du dossier à l’OFPRA</w:t>
      </w:r>
    </w:p>
    <w:p w:rsidR="00533383" w:rsidRDefault="00B15F13">
      <w:pPr>
        <w:spacing w:after="0" w:line="259" w:lineRule="auto"/>
        <w:ind w:left="0" w:firstLine="0"/>
        <w:jc w:val="left"/>
      </w:pPr>
      <w:r>
        <w:t xml:space="preserve"> </w:t>
      </w:r>
    </w:p>
    <w:p w:rsidR="00533383" w:rsidRDefault="00B15F13">
      <w:pPr>
        <w:spacing w:after="12"/>
        <w:ind w:left="-5"/>
        <w:jc w:val="left"/>
      </w:pPr>
      <w:r>
        <w:rPr>
          <w:b/>
        </w:rPr>
        <w:t xml:space="preserve">   </w:t>
      </w:r>
      <w:r w:rsidR="00834598">
        <w:rPr>
          <w:b/>
        </w:rPr>
        <w:t>Le droit à la vie privée et familiale</w:t>
      </w:r>
      <w:r>
        <w:rPr>
          <w:b/>
        </w:rPr>
        <w:t xml:space="preserve"> en France  </w:t>
      </w:r>
    </w:p>
    <w:p w:rsidR="00533383" w:rsidRDefault="00834598">
      <w:pPr>
        <w:numPr>
          <w:ilvl w:val="0"/>
          <w:numId w:val="2"/>
        </w:numPr>
        <w:ind w:hanging="360"/>
      </w:pPr>
      <w:r>
        <w:t>Le droit au mariage</w:t>
      </w:r>
      <w:r w:rsidR="00B15F13">
        <w:t> :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Les conditions de la célébration d’un mariage dans sa commune de résidence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Les documents nécessaires pour se marier et le rôle de l’officier d’état civil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L’irrégularité de séjour peut-elle empêcher le mariage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La cérémonie du mariage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lastRenderedPageBreak/>
        <w:t>Les conséquences du mariage sur le droit au séjour en France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Le PACS comme alternative au mariage ?</w:t>
      </w:r>
    </w:p>
    <w:p w:rsidR="00533383" w:rsidRDefault="00834598">
      <w:pPr>
        <w:numPr>
          <w:ilvl w:val="0"/>
          <w:numId w:val="2"/>
        </w:numPr>
        <w:ind w:hanging="360"/>
      </w:pPr>
      <w:r>
        <w:t>Le droit d’accès aux actes d’état civil</w:t>
      </w:r>
      <w:r w:rsidR="00B15F13">
        <w:t> :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Demander des actes d’état civil (naissance, mariage, décès)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Etablir des actes de reconnaissance</w:t>
      </w:r>
    </w:p>
    <w:p w:rsidR="00834598" w:rsidRDefault="00834598" w:rsidP="00834598">
      <w:pPr>
        <w:pStyle w:val="Paragraphedeliste"/>
        <w:numPr>
          <w:ilvl w:val="0"/>
          <w:numId w:val="3"/>
        </w:numPr>
      </w:pPr>
      <w:r>
        <w:t>Demander et vérifier l’apposition de mentions</w:t>
      </w:r>
    </w:p>
    <w:p w:rsidR="00533383" w:rsidRDefault="00834598">
      <w:pPr>
        <w:numPr>
          <w:ilvl w:val="0"/>
          <w:numId w:val="2"/>
        </w:numPr>
        <w:spacing w:after="0" w:line="239" w:lineRule="auto"/>
        <w:ind w:hanging="360"/>
      </w:pPr>
      <w:r>
        <w:t>Le droit au regroupement familial</w:t>
      </w:r>
      <w:r w:rsidR="00B15F13">
        <w:t> :</w:t>
      </w:r>
    </w:p>
    <w:p w:rsidR="00834598" w:rsidRDefault="00834598" w:rsidP="00834598">
      <w:pPr>
        <w:pStyle w:val="Paragraphedeliste"/>
        <w:numPr>
          <w:ilvl w:val="0"/>
          <w:numId w:val="3"/>
        </w:numPr>
        <w:spacing w:after="0" w:line="239" w:lineRule="auto"/>
      </w:pPr>
      <w:r>
        <w:t>Les conditions générales à remplir (pour les demandeurs, pour les bénéficiaires)</w:t>
      </w:r>
    </w:p>
    <w:p w:rsidR="00834598" w:rsidRDefault="00834598" w:rsidP="00834598">
      <w:pPr>
        <w:pStyle w:val="Paragraphedeliste"/>
        <w:numPr>
          <w:ilvl w:val="0"/>
          <w:numId w:val="3"/>
        </w:numPr>
        <w:spacing w:after="0" w:line="239" w:lineRule="auto"/>
      </w:pPr>
      <w:r>
        <w:t>Le dépôt et l’instruction de la demande</w:t>
      </w:r>
    </w:p>
    <w:p w:rsidR="00834598" w:rsidRDefault="00834598" w:rsidP="00834598">
      <w:pPr>
        <w:pStyle w:val="Paragraphedeliste"/>
        <w:numPr>
          <w:ilvl w:val="0"/>
          <w:numId w:val="3"/>
        </w:numPr>
        <w:spacing w:after="0" w:line="239" w:lineRule="auto"/>
      </w:pPr>
      <w:r>
        <w:t>Le visa de long séjour à demander à l’étranger</w:t>
      </w:r>
    </w:p>
    <w:p w:rsidR="00834598" w:rsidRDefault="00834598" w:rsidP="00834598">
      <w:pPr>
        <w:pStyle w:val="Paragraphedeliste"/>
        <w:numPr>
          <w:ilvl w:val="0"/>
          <w:numId w:val="3"/>
        </w:numPr>
        <w:spacing w:after="0" w:line="239" w:lineRule="auto"/>
      </w:pPr>
      <w:r>
        <w:t>Les voies et délais de recours contre un refus de la demande de regroupement familial</w:t>
      </w:r>
    </w:p>
    <w:p w:rsidR="00125FFE" w:rsidRDefault="00B15F13" w:rsidP="00125FFE">
      <w:pPr>
        <w:spacing w:after="0" w:line="259" w:lineRule="auto"/>
        <w:ind w:left="0" w:firstLine="0"/>
        <w:jc w:val="left"/>
      </w:pPr>
      <w:r>
        <w:t xml:space="preserve"> </w:t>
      </w:r>
    </w:p>
    <w:p w:rsidR="00533383" w:rsidRPr="00125FFE" w:rsidRDefault="00B15F13" w:rsidP="00125FFE">
      <w:pPr>
        <w:spacing w:after="0" w:line="259" w:lineRule="auto"/>
        <w:ind w:left="0" w:firstLine="0"/>
        <w:jc w:val="left"/>
      </w:pPr>
      <w:r>
        <w:rPr>
          <w:b/>
        </w:rPr>
        <w:t xml:space="preserve">Le </w:t>
      </w:r>
      <w:r w:rsidR="00834598">
        <w:rPr>
          <w:b/>
        </w:rPr>
        <w:t xml:space="preserve">droit au visa pour la famille ou les proches </w:t>
      </w:r>
    </w:p>
    <w:p w:rsidR="00533383" w:rsidRDefault="00834598">
      <w:pPr>
        <w:numPr>
          <w:ilvl w:val="0"/>
          <w:numId w:val="2"/>
        </w:numPr>
        <w:ind w:hanging="360"/>
      </w:pPr>
      <w:r>
        <w:t>Les types de visa principaux</w:t>
      </w:r>
      <w:r w:rsidR="00B15F13">
        <w:t> :</w:t>
      </w:r>
      <w:bookmarkStart w:id="0" w:name="_GoBack"/>
      <w:bookmarkEnd w:id="0"/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Le visa de court séjour ou de voyage (visa C)</w:t>
      </w:r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Le visa de circulation</w:t>
      </w:r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Le visa de long séjour (D)</w:t>
      </w:r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Le visa de long séjour valant titre de séjour</w:t>
      </w:r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L’obligation de motiver les refus de visas (article L 211-2 du CESEDA)</w:t>
      </w:r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La commission de recours contre les refus de visa (CCRV)</w:t>
      </w:r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La prolongation de visa</w:t>
      </w:r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L’obligation de souscrire une assurance pour couvrir les frais médicaux (article L 211-1 du CESEDA)</w:t>
      </w:r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Les conditions d’entrée en zone Schengen des ressortissants communautaires</w:t>
      </w:r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Les conditions d’entrée en zone Schengen des ressortissants non-communautaires (court séjour, long séjour)</w:t>
      </w:r>
    </w:p>
    <w:p w:rsidR="00125FFE" w:rsidRDefault="00125FFE" w:rsidP="00125FFE">
      <w:pPr>
        <w:pStyle w:val="Paragraphedeliste"/>
        <w:numPr>
          <w:ilvl w:val="0"/>
          <w:numId w:val="3"/>
        </w:numPr>
      </w:pPr>
      <w:r>
        <w:t>L’attestation d’accueil (les personnes dispensées, la demande)</w:t>
      </w:r>
    </w:p>
    <w:p w:rsidR="00533383" w:rsidRDefault="00533383">
      <w:pPr>
        <w:spacing w:after="0" w:line="259" w:lineRule="auto"/>
        <w:ind w:left="0" w:firstLine="0"/>
        <w:jc w:val="left"/>
      </w:pPr>
    </w:p>
    <w:p w:rsidR="00533383" w:rsidRDefault="00B15F13">
      <w:pPr>
        <w:spacing w:after="12"/>
        <w:ind w:left="175" w:hanging="190"/>
        <w:jc w:val="left"/>
      </w:pPr>
      <w:r>
        <w:rPr>
          <w:b/>
        </w:rPr>
        <w:t xml:space="preserve">   Auto évaluation de fin de formation par des exercices   pratiques. </w:t>
      </w:r>
    </w:p>
    <w:p w:rsidR="00533383" w:rsidRDefault="00B15F13">
      <w:pPr>
        <w:spacing w:after="0" w:line="259" w:lineRule="auto"/>
        <w:ind w:left="0" w:firstLine="0"/>
        <w:jc w:val="left"/>
      </w:pPr>
      <w:r>
        <w:rPr>
          <w:b/>
          <w:color w:val="1F497D"/>
        </w:rPr>
        <w:t xml:space="preserve"> </w:t>
      </w:r>
    </w:p>
    <w:p w:rsidR="00533383" w:rsidRDefault="00533383">
      <w:pPr>
        <w:sectPr w:rsidR="00533383">
          <w:type w:val="continuous"/>
          <w:pgSz w:w="11906" w:h="16838"/>
          <w:pgMar w:top="1440" w:right="836" w:bottom="1440" w:left="720" w:header="720" w:footer="720" w:gutter="0"/>
          <w:cols w:num="2" w:space="165"/>
        </w:sectPr>
      </w:pPr>
    </w:p>
    <w:p w:rsidR="00B15F13" w:rsidRDefault="00B15F13">
      <w:pPr>
        <w:spacing w:after="141"/>
        <w:ind w:left="10"/>
      </w:pPr>
    </w:p>
    <w:p w:rsidR="00B15F13" w:rsidRDefault="00B15F13">
      <w:pPr>
        <w:spacing w:after="141"/>
        <w:ind w:left="10"/>
      </w:pPr>
    </w:p>
    <w:p w:rsidR="00B15F13" w:rsidRDefault="00B15F13">
      <w:pPr>
        <w:spacing w:after="141"/>
        <w:ind w:left="10"/>
      </w:pPr>
    </w:p>
    <w:p w:rsidR="00533383" w:rsidRDefault="00B15F13">
      <w:pPr>
        <w:spacing w:after="141"/>
        <w:ind w:left="10"/>
      </w:pPr>
      <w:r>
        <w:t>L’ODTI est agréé au titre d</w:t>
      </w:r>
      <w:r>
        <w:t xml:space="preserve">e la formation permanente (n° de déclaration d’activité : 82380526638) </w:t>
      </w:r>
    </w:p>
    <w:p w:rsidR="00533383" w:rsidRDefault="00B15F13">
      <w:pPr>
        <w:spacing w:after="124"/>
        <w:ind w:left="10"/>
      </w:pPr>
      <w:r>
        <w:t xml:space="preserve">Formations organisées également sur demande en intra ou pour plusieurs structures d’un territoire. Nous contacter. </w:t>
      </w: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B15F13" w:rsidRDefault="00B15F13">
      <w:pPr>
        <w:spacing w:after="124"/>
        <w:ind w:left="10"/>
      </w:pPr>
    </w:p>
    <w:p w:rsidR="00533383" w:rsidRDefault="00B15F13">
      <w:pPr>
        <w:spacing w:after="0" w:line="259" w:lineRule="auto"/>
        <w:ind w:left="482" w:firstLine="0"/>
        <w:jc w:val="center"/>
      </w:pPr>
      <w:r>
        <w:rPr>
          <w:b/>
          <w:sz w:val="16"/>
        </w:rPr>
        <w:t xml:space="preserve">Observatoire sur les Discriminations et les Territoires Interculturels </w:t>
      </w:r>
    </w:p>
    <w:p w:rsidR="00533383" w:rsidRDefault="00B15F13">
      <w:pPr>
        <w:spacing w:after="18" w:line="240" w:lineRule="auto"/>
        <w:ind w:left="2640" w:right="2112" w:firstLine="0"/>
        <w:jc w:val="center"/>
      </w:pPr>
      <w:r>
        <w:rPr>
          <w:sz w:val="16"/>
        </w:rPr>
        <w:t xml:space="preserve">Association Loi 1901 – 7 Place Edmond Arnaud – 38000 Grenoble </w:t>
      </w:r>
      <w:r>
        <w:rPr>
          <w:rFonts w:ascii="Wingdings" w:eastAsia="Wingdings" w:hAnsi="Wingdings" w:cs="Wingdings"/>
          <w:sz w:val="16"/>
        </w:rPr>
        <w:t></w:t>
      </w:r>
      <w:r>
        <w:rPr>
          <w:sz w:val="16"/>
        </w:rPr>
        <w:t xml:space="preserve"> 04.76.42.60.45 – Fax 04.76.01.02.46 –observatoire @odti.fr</w:t>
      </w:r>
      <w:r>
        <w:rPr>
          <w:b/>
          <w:sz w:val="16"/>
        </w:rPr>
        <w:t xml:space="preserve"> </w:t>
      </w:r>
    </w:p>
    <w:p w:rsidR="00533383" w:rsidRDefault="00B15F13">
      <w:pPr>
        <w:spacing w:after="0" w:line="237" w:lineRule="auto"/>
        <w:ind w:left="0" w:right="4695" w:firstLine="0"/>
        <w:jc w:val="left"/>
      </w:pPr>
      <w:r>
        <w:rPr>
          <w:color w:val="244061"/>
        </w:rPr>
        <w:t xml:space="preserve"> </w:t>
      </w:r>
      <w:r>
        <w:rPr>
          <w:b/>
          <w:i/>
          <w:color w:val="244061"/>
        </w:rPr>
        <w:t xml:space="preserve"> </w:t>
      </w:r>
    </w:p>
    <w:sectPr w:rsidR="00533383">
      <w:type w:val="continuous"/>
      <w:pgSz w:w="11906" w:h="16838"/>
      <w:pgMar w:top="1889" w:right="1214" w:bottom="83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76D"/>
    <w:multiLevelType w:val="hybridMultilevel"/>
    <w:tmpl w:val="C0981292"/>
    <w:lvl w:ilvl="0" w:tplc="A936F57C">
      <w:start w:val="1"/>
      <w:numFmt w:val="bullet"/>
      <w:lvlText w:val=""/>
      <w:lvlJc w:val="left"/>
      <w:pPr>
        <w:ind w:left="89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8E4A2E">
      <w:start w:val="1"/>
      <w:numFmt w:val="bullet"/>
      <w:lvlText w:val="o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44051A">
      <w:start w:val="1"/>
      <w:numFmt w:val="bullet"/>
      <w:lvlText w:val="▪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32D650">
      <w:start w:val="1"/>
      <w:numFmt w:val="bullet"/>
      <w:lvlText w:val="•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343974">
      <w:start w:val="1"/>
      <w:numFmt w:val="bullet"/>
      <w:lvlText w:val="o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8409F0">
      <w:start w:val="1"/>
      <w:numFmt w:val="bullet"/>
      <w:lvlText w:val="▪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76375C">
      <w:start w:val="1"/>
      <w:numFmt w:val="bullet"/>
      <w:lvlText w:val="•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2E54C4">
      <w:start w:val="1"/>
      <w:numFmt w:val="bullet"/>
      <w:lvlText w:val="o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A039AE">
      <w:start w:val="1"/>
      <w:numFmt w:val="bullet"/>
      <w:lvlText w:val="▪"/>
      <w:lvlJc w:val="left"/>
      <w:pPr>
        <w:ind w:left="6656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0474D"/>
    <w:multiLevelType w:val="hybridMultilevel"/>
    <w:tmpl w:val="2F762164"/>
    <w:lvl w:ilvl="0" w:tplc="FE3AAA00">
      <w:numFmt w:val="bullet"/>
      <w:lvlText w:val="-"/>
      <w:lvlJc w:val="left"/>
      <w:pPr>
        <w:ind w:left="1065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B0CE6"/>
    <w:multiLevelType w:val="hybridMultilevel"/>
    <w:tmpl w:val="28409954"/>
    <w:lvl w:ilvl="0" w:tplc="B024E8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F248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4FD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4C1B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14B3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5A79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C65F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1E83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8A2E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83"/>
    <w:rsid w:val="00125FFE"/>
    <w:rsid w:val="003A1912"/>
    <w:rsid w:val="00533383"/>
    <w:rsid w:val="0067292B"/>
    <w:rsid w:val="00834598"/>
    <w:rsid w:val="00B15F13"/>
    <w:rsid w:val="00D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8C1C"/>
  <w15:docId w15:val="{5BA194F6-6A3B-4067-BED0-0D680FB1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546" w:hanging="10"/>
      <w:jc w:val="both"/>
    </w:pPr>
    <w:rPr>
      <w:rFonts w:ascii="Century Gothic" w:eastAsia="Century Gothic" w:hAnsi="Century Gothic" w:cs="Century Gothic"/>
      <w:color w:val="00206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3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odti5</dc:creator>
  <cp:keywords/>
  <cp:lastModifiedBy>nro</cp:lastModifiedBy>
  <cp:revision>2</cp:revision>
  <dcterms:created xsi:type="dcterms:W3CDTF">2018-09-03T10:03:00Z</dcterms:created>
  <dcterms:modified xsi:type="dcterms:W3CDTF">2018-09-03T10:03:00Z</dcterms:modified>
</cp:coreProperties>
</file>